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C9" w:rsidRPr="00991B2C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B2C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EB478F" w:rsidRPr="00991B2C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991B2C">
        <w:rPr>
          <w:rFonts w:ascii="Times New Roman" w:hAnsi="Times New Roman" w:cs="Times New Roman"/>
          <w:b/>
          <w:sz w:val="26"/>
          <w:szCs w:val="26"/>
          <w:u w:val="single"/>
        </w:rPr>
        <w:t>Độc</w:t>
      </w:r>
      <w:proofErr w:type="spellEnd"/>
      <w:r w:rsidRPr="00991B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91B2C">
        <w:rPr>
          <w:rFonts w:ascii="Times New Roman" w:hAnsi="Times New Roman" w:cs="Times New Roman"/>
          <w:b/>
          <w:sz w:val="26"/>
          <w:szCs w:val="26"/>
          <w:u w:val="single"/>
        </w:rPr>
        <w:t>lập</w:t>
      </w:r>
      <w:proofErr w:type="spellEnd"/>
      <w:r w:rsidRPr="00991B2C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</w:t>
      </w:r>
      <w:proofErr w:type="spellStart"/>
      <w:r w:rsidRPr="00991B2C">
        <w:rPr>
          <w:rFonts w:ascii="Times New Roman" w:hAnsi="Times New Roman" w:cs="Times New Roman"/>
          <w:b/>
          <w:sz w:val="26"/>
          <w:szCs w:val="26"/>
          <w:u w:val="single"/>
        </w:rPr>
        <w:t>Tự</w:t>
      </w:r>
      <w:proofErr w:type="spellEnd"/>
      <w:r w:rsidRPr="00991B2C">
        <w:rPr>
          <w:rFonts w:ascii="Times New Roman" w:hAnsi="Times New Roman" w:cs="Times New Roman"/>
          <w:b/>
          <w:sz w:val="26"/>
          <w:szCs w:val="26"/>
          <w:u w:val="single"/>
        </w:rPr>
        <w:t xml:space="preserve"> do – </w:t>
      </w:r>
      <w:proofErr w:type="spellStart"/>
      <w:r w:rsidRPr="00991B2C">
        <w:rPr>
          <w:rFonts w:ascii="Times New Roman" w:hAnsi="Times New Roman" w:cs="Times New Roman"/>
          <w:b/>
          <w:sz w:val="26"/>
          <w:szCs w:val="26"/>
          <w:u w:val="single"/>
        </w:rPr>
        <w:t>Hạnh</w:t>
      </w:r>
      <w:proofErr w:type="spellEnd"/>
      <w:r w:rsidRPr="00991B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91B2C">
        <w:rPr>
          <w:rFonts w:ascii="Times New Roman" w:hAnsi="Times New Roman" w:cs="Times New Roman"/>
          <w:b/>
          <w:sz w:val="26"/>
          <w:szCs w:val="26"/>
          <w:u w:val="single"/>
        </w:rPr>
        <w:t>phúc</w:t>
      </w:r>
      <w:proofErr w:type="spellEnd"/>
    </w:p>
    <w:p w:rsidR="00EB478F" w:rsidRDefault="00EB478F" w:rsidP="00EB478F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B478F" w:rsidRPr="00EB478F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78F">
        <w:rPr>
          <w:rFonts w:ascii="Times New Roman" w:hAnsi="Times New Roman" w:cs="Times New Roman"/>
          <w:b/>
          <w:sz w:val="28"/>
          <w:szCs w:val="28"/>
        </w:rPr>
        <w:t>BẢN</w:t>
      </w:r>
      <w:r w:rsidR="008805E9">
        <w:rPr>
          <w:rFonts w:ascii="Times New Roman" w:hAnsi="Times New Roman" w:cs="Times New Roman"/>
          <w:b/>
          <w:sz w:val="28"/>
          <w:szCs w:val="28"/>
        </w:rPr>
        <w:t>G</w:t>
      </w:r>
      <w:r w:rsidRPr="00EB478F">
        <w:rPr>
          <w:rFonts w:ascii="Times New Roman" w:hAnsi="Times New Roman" w:cs="Times New Roman"/>
          <w:b/>
          <w:sz w:val="28"/>
          <w:szCs w:val="28"/>
        </w:rPr>
        <w:t xml:space="preserve"> ĐĂNG KÝ</w:t>
      </w:r>
    </w:p>
    <w:p w:rsidR="00EB478F" w:rsidRPr="00EB478F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Xây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dựng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  <w:r w:rsidR="0010341B">
        <w:rPr>
          <w:rFonts w:ascii="Times New Roman" w:hAnsi="Times New Roman" w:cs="Times New Roman"/>
          <w:b/>
          <w:sz w:val="28"/>
          <w:szCs w:val="28"/>
        </w:rPr>
        <w:t>,</w:t>
      </w:r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>”</w:t>
      </w:r>
    </w:p>
    <w:p w:rsidR="00EB478F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478F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EB478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379A0" w:rsidRPr="007379A0">
        <w:rPr>
          <w:rFonts w:ascii="Times New Roman" w:hAnsi="Times New Roman" w:cs="Times New Roman"/>
          <w:sz w:val="28"/>
          <w:szCs w:val="28"/>
        </w:rPr>
        <w:t>……</w:t>
      </w:r>
    </w:p>
    <w:p w:rsidR="003E7C69" w:rsidRDefault="003E7C69" w:rsidP="00EB4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3E7C69" w:rsidRDefault="003E7C69" w:rsidP="003E7C69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69" w:rsidRDefault="003E7C69" w:rsidP="006C594D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594D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6C5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594D">
        <w:rPr>
          <w:rFonts w:ascii="Times New Roman" w:hAnsi="Times New Roman" w:cs="Times New Roman"/>
          <w:sz w:val="26"/>
          <w:szCs w:val="26"/>
        </w:rPr>
        <w:t>gử</w:t>
      </w:r>
      <w:r w:rsidR="00991B2C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991B2C">
        <w:rPr>
          <w:rFonts w:ascii="Times New Roman" w:hAnsi="Times New Roman" w:cs="Times New Roman"/>
          <w:sz w:val="26"/>
          <w:szCs w:val="26"/>
        </w:rPr>
        <w:t xml:space="preserve">: - BCĐ </w:t>
      </w:r>
      <w:proofErr w:type="spellStart"/>
      <w:r w:rsidR="00991B2C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="00991B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1B2C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="00991B2C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6C594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6C5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594D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C5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594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6C5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594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C5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594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6C5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594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8B5469" w:rsidRPr="006C5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5469" w:rsidRPr="006C594D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="008B5469" w:rsidRPr="006C5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594D" w:rsidRPr="006C594D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6C594D" w:rsidRPr="006C5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594D" w:rsidRPr="006C594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6C594D" w:rsidRPr="006C5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594D" w:rsidRPr="006C594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6C594D" w:rsidRPr="006C594D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="006C594D" w:rsidRPr="006C594D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="006C594D" w:rsidRPr="006C594D">
        <w:rPr>
          <w:rFonts w:ascii="Times New Roman" w:hAnsi="Times New Roman" w:cs="Times New Roman"/>
          <w:sz w:val="26"/>
          <w:szCs w:val="26"/>
        </w:rPr>
        <w:t xml:space="preserve"> 1</w:t>
      </w:r>
      <w:r w:rsidR="006C594D">
        <w:rPr>
          <w:rFonts w:ascii="Times New Roman" w:hAnsi="Times New Roman" w:cs="Times New Roman"/>
          <w:sz w:val="26"/>
          <w:szCs w:val="26"/>
        </w:rPr>
        <w:t>;</w:t>
      </w:r>
    </w:p>
    <w:p w:rsidR="006C594D" w:rsidRDefault="00991B2C" w:rsidP="006C594D">
      <w:pPr>
        <w:pStyle w:val="ListParagraph"/>
        <w:numPr>
          <w:ilvl w:val="0"/>
          <w:numId w:val="1"/>
        </w:numPr>
        <w:spacing w:after="0"/>
        <w:ind w:left="1980" w:hanging="1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594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6C5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594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6C5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594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6C5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594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6C594D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6C594D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="006C594D">
        <w:rPr>
          <w:rFonts w:ascii="Times New Roman" w:hAnsi="Times New Roman" w:cs="Times New Roman"/>
          <w:sz w:val="26"/>
          <w:szCs w:val="26"/>
        </w:rPr>
        <w:t xml:space="preserve"> 1;</w:t>
      </w:r>
    </w:p>
    <w:p w:rsidR="006C594D" w:rsidRDefault="006C594D" w:rsidP="006C594D">
      <w:pPr>
        <w:pStyle w:val="ListParagraph"/>
        <w:numPr>
          <w:ilvl w:val="0"/>
          <w:numId w:val="1"/>
        </w:numPr>
        <w:spacing w:after="0"/>
        <w:ind w:left="1980" w:hanging="1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3B04">
        <w:rPr>
          <w:rFonts w:ascii="Times New Roman" w:hAnsi="Times New Roman" w:cs="Times New Roman"/>
          <w:sz w:val="26"/>
          <w:szCs w:val="26"/>
        </w:rPr>
        <w:t xml:space="preserve">Lao </w:t>
      </w:r>
      <w:proofErr w:type="spellStart"/>
      <w:r w:rsidR="000D3B0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0D3B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04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="000D3B04">
        <w:rPr>
          <w:rFonts w:ascii="Times New Roman" w:hAnsi="Times New Roman" w:cs="Times New Roman"/>
          <w:sz w:val="26"/>
          <w:szCs w:val="26"/>
        </w:rPr>
        <w:t xml:space="preserve"> 1;</w:t>
      </w:r>
    </w:p>
    <w:p w:rsidR="000D3B04" w:rsidRDefault="000D3B04" w:rsidP="006C594D">
      <w:pPr>
        <w:pStyle w:val="ListParagraph"/>
        <w:numPr>
          <w:ilvl w:val="0"/>
          <w:numId w:val="1"/>
        </w:numPr>
        <w:spacing w:after="0"/>
        <w:ind w:left="1980" w:hanging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BCĐ </w:t>
      </w:r>
      <w:proofErr w:type="spellStart"/>
      <w:r w:rsidR="00991B2C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="00991B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1B2C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="00991B2C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6C594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6C5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594D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C5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594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6C5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594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C5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594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6C5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594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6C5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594D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6C5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594D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6C5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594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6C5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594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6C594D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3B04" w:rsidRDefault="000D3B04" w:rsidP="000D3B04">
      <w:pPr>
        <w:pStyle w:val="ListParagraph"/>
        <w:spacing w:after="0"/>
        <w:ind w:left="19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…………………</w:t>
      </w:r>
    </w:p>
    <w:p w:rsidR="000D3B04" w:rsidRDefault="000D3B04" w:rsidP="000D3B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3B04" w:rsidRDefault="000D3B04" w:rsidP="000D3B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</w:t>
      </w:r>
    </w:p>
    <w:p w:rsidR="000D3B04" w:rsidRDefault="000D3B04" w:rsidP="000D3B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…………………………………………………………………………………..</w:t>
      </w:r>
    </w:p>
    <w:p w:rsidR="000D3B04" w:rsidRDefault="000D3B04" w:rsidP="000D3B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…………………………………………………………………..</w:t>
      </w:r>
    </w:p>
    <w:p w:rsidR="000D3B04" w:rsidRDefault="000D3B04" w:rsidP="000D3B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</w:t>
      </w:r>
    </w:p>
    <w:p w:rsidR="000D3B04" w:rsidRDefault="000D3B04" w:rsidP="000D3B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3B04" w:rsidRDefault="000D3B04" w:rsidP="000D3B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Sau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</w:t>
      </w:r>
      <w:r w:rsidR="00443EDD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1</w:t>
      </w:r>
      <w:r w:rsidR="00991B2C">
        <w:rPr>
          <w:rFonts w:ascii="Times New Roman" w:hAnsi="Times New Roman" w:cs="Times New Roman"/>
          <w:sz w:val="26"/>
          <w:szCs w:val="26"/>
        </w:rPr>
        <w:t>280</w:t>
      </w:r>
      <w:r w:rsidR="00443EDD">
        <w:rPr>
          <w:rFonts w:ascii="Times New Roman" w:hAnsi="Times New Roman" w:cs="Times New Roman"/>
          <w:sz w:val="26"/>
          <w:szCs w:val="26"/>
        </w:rPr>
        <w:t xml:space="preserve">/QĐ-UBND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ngà</w:t>
      </w:r>
      <w:r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r w:rsidR="00991B2C">
        <w:rPr>
          <w:rFonts w:ascii="Times New Roman" w:hAnsi="Times New Roman" w:cs="Times New Roman"/>
          <w:sz w:val="26"/>
          <w:szCs w:val="26"/>
        </w:rPr>
        <w:t xml:space="preserve">14 </w:t>
      </w:r>
      <w:proofErr w:type="spellStart"/>
      <w:r w:rsidR="00991B2C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991B2C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="00991B2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991B2C">
        <w:rPr>
          <w:rFonts w:ascii="Times New Roman" w:hAnsi="Times New Roman" w:cs="Times New Roman"/>
          <w:sz w:val="26"/>
          <w:szCs w:val="26"/>
        </w:rPr>
        <w:t xml:space="preserve"> 2020</w:t>
      </w:r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Minh,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43EDD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tham</w:t>
      </w:r>
      <w:proofErr w:type="spellEnd"/>
      <w:proofErr w:type="gram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20</w:t>
      </w:r>
      <w:r w:rsidR="000F440F">
        <w:rPr>
          <w:rFonts w:ascii="Times New Roman" w:hAnsi="Times New Roman" w:cs="Times New Roman"/>
          <w:sz w:val="26"/>
          <w:szCs w:val="26"/>
        </w:rPr>
        <w:t>……</w:t>
      </w:r>
      <w:r w:rsidR="00443E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ED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443EDD">
        <w:rPr>
          <w:rFonts w:ascii="Times New Roman" w:hAnsi="Times New Roman" w:cs="Times New Roman"/>
          <w:sz w:val="26"/>
          <w:szCs w:val="26"/>
        </w:rPr>
        <w:t>:</w:t>
      </w:r>
    </w:p>
    <w:p w:rsidR="00B6761C" w:rsidRPr="000D3B04" w:rsidRDefault="00B6761C" w:rsidP="000D3B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896"/>
        <w:gridCol w:w="6412"/>
        <w:gridCol w:w="1530"/>
        <w:gridCol w:w="1350"/>
      </w:tblGrid>
      <w:tr w:rsidR="00B6761C" w:rsidRPr="00B6761C" w:rsidTr="00936C09">
        <w:tc>
          <w:tcPr>
            <w:tcW w:w="896" w:type="dxa"/>
            <w:tcBorders>
              <w:bottom w:val="single" w:sz="4" w:space="0" w:color="auto"/>
            </w:tcBorders>
          </w:tcPr>
          <w:p w:rsidR="00B6761C" w:rsidRPr="00B6761C" w:rsidRDefault="00B6761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6761C"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 w:rsidRPr="00B676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6761C">
              <w:rPr>
                <w:rFonts w:ascii="Times New Roman" w:hAnsi="Times New Roman" w:cs="Times New Roman"/>
                <w:b/>
                <w:sz w:val="26"/>
                <w:szCs w:val="26"/>
              </w:rPr>
              <w:t>chuẩn</w:t>
            </w:r>
            <w:proofErr w:type="spellEnd"/>
          </w:p>
        </w:tc>
        <w:tc>
          <w:tcPr>
            <w:tcW w:w="6412" w:type="dxa"/>
            <w:tcBorders>
              <w:bottom w:val="single" w:sz="4" w:space="0" w:color="auto"/>
            </w:tcBorders>
          </w:tcPr>
          <w:p w:rsidR="00B6761C" w:rsidRPr="00B6761C" w:rsidRDefault="00B6761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6761C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B676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6761C" w:rsidRPr="00991B2C" w:rsidRDefault="00B6761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1B2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991B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sz w:val="26"/>
                <w:szCs w:val="26"/>
              </w:rPr>
              <w:t>chuẩn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6761C" w:rsidRPr="00B6761C" w:rsidRDefault="00B6761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6761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B676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6761C">
              <w:rPr>
                <w:rFonts w:ascii="Times New Roman" w:hAnsi="Times New Roman" w:cs="Times New Roman"/>
                <w:b/>
                <w:sz w:val="26"/>
                <w:szCs w:val="26"/>
              </w:rPr>
              <w:t>đăng</w:t>
            </w:r>
            <w:proofErr w:type="spellEnd"/>
            <w:r w:rsidRPr="00B676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6761C">
              <w:rPr>
                <w:rFonts w:ascii="Times New Roman" w:hAnsi="Times New Roman" w:cs="Times New Roman"/>
                <w:b/>
                <w:sz w:val="26"/>
                <w:szCs w:val="26"/>
              </w:rPr>
              <w:t>ký</w:t>
            </w:r>
            <w:proofErr w:type="spellEnd"/>
          </w:p>
        </w:tc>
      </w:tr>
      <w:tr w:rsidR="00991B2C" w:rsidTr="00BC23AA">
        <w:tc>
          <w:tcPr>
            <w:tcW w:w="896" w:type="dxa"/>
            <w:tcBorders>
              <w:bottom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trào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xuyên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góp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100%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“Lao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”;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90%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xuyên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đào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bồi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dưỡng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Nghiêm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túc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sót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đùn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đẩy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né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đeo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Nâng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90%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nghiệm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tiễn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  <w:tcBorders>
              <w:top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nếp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sống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minh,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môi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hóa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412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100%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nếp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minh,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kiệm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cưới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tang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530" w:type="dxa"/>
            <w:vAlign w:val="center"/>
          </w:tcPr>
          <w:p w:rsidR="00991B2C" w:rsidRPr="00991B2C" w:rsidRDefault="00F66E35" w:rsidP="00991B2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412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tệ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nạn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tàng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trữ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mê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dị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đoan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530" w:type="dxa"/>
            <w:vAlign w:val="center"/>
          </w:tcPr>
          <w:p w:rsidR="00991B2C" w:rsidRPr="00991B2C" w:rsidRDefault="00F66E35" w:rsidP="00991B2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412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nề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nếp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sở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530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ED3095">
        <w:tc>
          <w:tcPr>
            <w:tcW w:w="896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412" w:type="dxa"/>
          </w:tcPr>
          <w:p w:rsidR="00991B2C" w:rsidRDefault="00991B2C" w:rsidP="00991B2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lao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</w:p>
          <w:p w:rsidR="00991B2C" w:rsidRPr="00AF0274" w:rsidRDefault="00991B2C" w:rsidP="00991B2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hút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thuốc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lá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991B2C" w:rsidRDefault="00991B2C" w:rsidP="00991B2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F66E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K</w:t>
            </w:r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hông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uống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mùi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rượu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bia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991B2C" w:rsidRDefault="00991B2C" w:rsidP="00991B2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-T</w:t>
            </w:r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rang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phục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gọn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gàng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lịch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072064" w:rsidRDefault="00072064" w:rsidP="00991B2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mực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xử</w:t>
            </w:r>
            <w:proofErr w:type="spellEnd"/>
          </w:p>
          <w:p w:rsidR="00991B2C" w:rsidRDefault="00991B2C" w:rsidP="00991B2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</w:t>
            </w:r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ơ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xanh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sạch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đẹp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an </w:t>
            </w:r>
            <w:proofErr w:type="spellStart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toàn</w:t>
            </w:r>
            <w:proofErr w:type="spellEnd"/>
            <w:r w:rsidRPr="00D07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; </w:t>
            </w:r>
          </w:p>
          <w:p w:rsidR="00991B2C" w:rsidRDefault="00991B2C" w:rsidP="00991B2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trí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khuôn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phù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hài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hòa</w:t>
            </w:r>
            <w:proofErr w:type="spellEnd"/>
            <w:r w:rsidRPr="00AF02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072064" w:rsidRPr="00072064" w:rsidRDefault="00072064" w:rsidP="00991B2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phân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loại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rác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nguồn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định</w:t>
            </w:r>
            <w:proofErr w:type="spellEnd"/>
          </w:p>
          <w:p w:rsidR="00072064" w:rsidRPr="00072064" w:rsidRDefault="00072064" w:rsidP="00991B2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khai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phong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trào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“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Chống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rác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thải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nhựa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”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cơ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đơn</w:t>
            </w:r>
            <w:proofErr w:type="spellEnd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7206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vị</w:t>
            </w:r>
            <w:proofErr w:type="spellEnd"/>
          </w:p>
          <w:p w:rsidR="00991B2C" w:rsidRPr="00AF0274" w:rsidRDefault="00991B2C" w:rsidP="0099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991B2C" w:rsidRDefault="00991B2C" w:rsidP="00991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1B2C" w:rsidRDefault="00F66E35" w:rsidP="00991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91B2C" w:rsidRDefault="00F66E35" w:rsidP="00991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91B2C" w:rsidRDefault="00991B2C" w:rsidP="00991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91B2C" w:rsidRDefault="00991B2C" w:rsidP="00991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91B2C" w:rsidRDefault="00072064" w:rsidP="00991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72064" w:rsidRDefault="00072064" w:rsidP="00991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72064" w:rsidRDefault="00072064" w:rsidP="00991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72064" w:rsidRPr="002D7A3B" w:rsidRDefault="00072064" w:rsidP="00991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E35" w:rsidTr="00ED3095">
        <w:tc>
          <w:tcPr>
            <w:tcW w:w="896" w:type="dxa"/>
          </w:tcPr>
          <w:p w:rsidR="00F66E35" w:rsidRDefault="00F66E35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6412" w:type="dxa"/>
          </w:tcPr>
          <w:p w:rsidR="00F66E35" w:rsidRPr="00D07F7D" w:rsidRDefault="00F66E35" w:rsidP="00991B2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bệnh</w:t>
            </w:r>
            <w:proofErr w:type="spellEnd"/>
          </w:p>
        </w:tc>
        <w:tc>
          <w:tcPr>
            <w:tcW w:w="1530" w:type="dxa"/>
          </w:tcPr>
          <w:p w:rsidR="00F66E35" w:rsidRDefault="00F66E35" w:rsidP="00991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</w:tcPr>
          <w:p w:rsidR="00F66E35" w:rsidRDefault="00F66E35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412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Gương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mẫu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chấp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đường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lối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trương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Đảng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sách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Nhà</w:t>
            </w:r>
            <w:proofErr w:type="spellEnd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1530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50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412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100%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nắm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vững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nghiêm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lối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trương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Đảng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530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412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khiển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an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trật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khiếu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vượt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530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50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896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412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8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ngân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nguồn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xảy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lãng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nhũng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cực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đấu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nhũng</w:t>
            </w:r>
            <w:proofErr w:type="spellEnd"/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30" w:type="dxa"/>
            <w:vAlign w:val="center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50" w:type="dxa"/>
          </w:tcPr>
          <w:p w:rsid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B2C" w:rsidTr="00BC23AA">
        <w:tc>
          <w:tcPr>
            <w:tcW w:w="7308" w:type="dxa"/>
            <w:gridSpan w:val="2"/>
          </w:tcPr>
          <w:p w:rsidR="00991B2C" w:rsidRPr="004B14B8" w:rsidRDefault="00991B2C" w:rsidP="004B14B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B14B8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4B14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14B8"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  <w:proofErr w:type="spellEnd"/>
            <w:r w:rsidRPr="004B14B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530" w:type="dxa"/>
          </w:tcPr>
          <w:p w:rsidR="00991B2C" w:rsidRPr="00991B2C" w:rsidRDefault="00991B2C" w:rsidP="00991B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B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100 </w:t>
            </w:r>
            <w:proofErr w:type="spellStart"/>
            <w:r w:rsidRPr="00991B2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350" w:type="dxa"/>
            <w:vAlign w:val="bottom"/>
          </w:tcPr>
          <w:p w:rsidR="00991B2C" w:rsidRDefault="00991B2C" w:rsidP="00991B2C">
            <w:pPr>
              <w:spacing w:before="12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43EDD" w:rsidRDefault="00D8289E" w:rsidP="000D3B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8289E" w:rsidRPr="00F66E35" w:rsidRDefault="00D8289E" w:rsidP="000D3B0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1B2C">
        <w:rPr>
          <w:rFonts w:ascii="Times New Roman" w:hAnsi="Times New Roman" w:cs="Times New Roman"/>
          <w:b/>
          <w:sz w:val="26"/>
          <w:szCs w:val="26"/>
        </w:rPr>
        <w:tab/>
      </w:r>
      <w:r w:rsidRPr="00991B2C">
        <w:rPr>
          <w:rFonts w:ascii="Times New Roman" w:hAnsi="Times New Roman" w:cs="Times New Roman"/>
          <w:b/>
          <w:sz w:val="26"/>
          <w:szCs w:val="26"/>
        </w:rPr>
        <w:tab/>
      </w:r>
      <w:r w:rsidRPr="00991B2C">
        <w:rPr>
          <w:rFonts w:ascii="Times New Roman" w:hAnsi="Times New Roman" w:cs="Times New Roman"/>
          <w:b/>
          <w:sz w:val="26"/>
          <w:szCs w:val="26"/>
        </w:rPr>
        <w:tab/>
      </w:r>
      <w:r w:rsidRPr="00991B2C">
        <w:rPr>
          <w:rFonts w:ascii="Times New Roman" w:hAnsi="Times New Roman" w:cs="Times New Roman"/>
          <w:b/>
          <w:sz w:val="26"/>
          <w:szCs w:val="26"/>
        </w:rPr>
        <w:tab/>
      </w:r>
      <w:r w:rsidRPr="00991B2C">
        <w:rPr>
          <w:rFonts w:ascii="Times New Roman" w:hAnsi="Times New Roman" w:cs="Times New Roman"/>
          <w:b/>
          <w:sz w:val="26"/>
          <w:szCs w:val="26"/>
        </w:rPr>
        <w:tab/>
      </w:r>
      <w:r w:rsidRPr="00991B2C">
        <w:rPr>
          <w:rFonts w:ascii="Times New Roman" w:hAnsi="Times New Roman" w:cs="Times New Roman"/>
          <w:b/>
          <w:sz w:val="26"/>
          <w:szCs w:val="26"/>
        </w:rPr>
        <w:tab/>
      </w:r>
      <w:r w:rsidRPr="00991B2C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F66E35">
        <w:rPr>
          <w:rFonts w:ascii="Times New Roman" w:hAnsi="Times New Roman" w:cs="Times New Roman"/>
          <w:i/>
          <w:sz w:val="26"/>
          <w:szCs w:val="26"/>
        </w:rPr>
        <w:t>Quận</w:t>
      </w:r>
      <w:proofErr w:type="spellEnd"/>
      <w:r w:rsidRPr="00F66E35">
        <w:rPr>
          <w:rFonts w:ascii="Times New Roman" w:hAnsi="Times New Roman" w:cs="Times New Roman"/>
          <w:i/>
          <w:sz w:val="26"/>
          <w:szCs w:val="26"/>
        </w:rPr>
        <w:t xml:space="preserve"> 1, </w:t>
      </w:r>
      <w:proofErr w:type="spellStart"/>
      <w:r w:rsidRPr="00F66E35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F66E35">
        <w:rPr>
          <w:rFonts w:ascii="Times New Roman" w:hAnsi="Times New Roman" w:cs="Times New Roman"/>
          <w:i/>
          <w:sz w:val="26"/>
          <w:szCs w:val="26"/>
        </w:rPr>
        <w:t xml:space="preserve">           </w:t>
      </w:r>
      <w:proofErr w:type="spellStart"/>
      <w:r w:rsidRPr="00F66E35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F66E35">
        <w:rPr>
          <w:rFonts w:ascii="Times New Roman" w:hAnsi="Times New Roman" w:cs="Times New Roman"/>
          <w:i/>
          <w:sz w:val="26"/>
          <w:szCs w:val="26"/>
        </w:rPr>
        <w:t xml:space="preserve">      </w:t>
      </w:r>
      <w:proofErr w:type="spellStart"/>
      <w:r w:rsidRPr="00F66E35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F66E35">
        <w:rPr>
          <w:rFonts w:ascii="Times New Roman" w:hAnsi="Times New Roman" w:cs="Times New Roman"/>
          <w:i/>
          <w:sz w:val="26"/>
          <w:szCs w:val="26"/>
        </w:rPr>
        <w:t xml:space="preserve"> 20</w:t>
      </w:r>
      <w:r w:rsidR="00597700" w:rsidRPr="00F66E35">
        <w:rPr>
          <w:rFonts w:ascii="Times New Roman" w:hAnsi="Times New Roman" w:cs="Times New Roman"/>
          <w:i/>
          <w:sz w:val="26"/>
          <w:szCs w:val="26"/>
        </w:rPr>
        <w:t>……</w:t>
      </w:r>
    </w:p>
    <w:p w:rsidR="00D8289E" w:rsidRPr="00991B2C" w:rsidRDefault="007B4CF7" w:rsidP="000D3B0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1B2C">
        <w:rPr>
          <w:rFonts w:ascii="Times New Roman" w:hAnsi="Times New Roman" w:cs="Times New Roman"/>
          <w:b/>
          <w:sz w:val="26"/>
          <w:szCs w:val="26"/>
        </w:rPr>
        <w:tab/>
        <w:t>TM. BCH CÔNG ĐOÀN</w:t>
      </w:r>
      <w:r w:rsidR="00D8289E" w:rsidRPr="00991B2C">
        <w:rPr>
          <w:rFonts w:ascii="Times New Roman" w:hAnsi="Times New Roman" w:cs="Times New Roman"/>
          <w:b/>
          <w:sz w:val="26"/>
          <w:szCs w:val="26"/>
        </w:rPr>
        <w:tab/>
      </w:r>
      <w:r w:rsidR="00D8289E" w:rsidRPr="00991B2C">
        <w:rPr>
          <w:rFonts w:ascii="Times New Roman" w:hAnsi="Times New Roman" w:cs="Times New Roman"/>
          <w:b/>
          <w:sz w:val="26"/>
          <w:szCs w:val="26"/>
        </w:rPr>
        <w:tab/>
      </w:r>
      <w:r w:rsidR="00D8289E" w:rsidRPr="00991B2C">
        <w:rPr>
          <w:rFonts w:ascii="Times New Roman" w:hAnsi="Times New Roman" w:cs="Times New Roman"/>
          <w:b/>
          <w:sz w:val="26"/>
          <w:szCs w:val="26"/>
        </w:rPr>
        <w:tab/>
      </w:r>
      <w:r w:rsidR="00D8289E" w:rsidRPr="00991B2C">
        <w:rPr>
          <w:rFonts w:ascii="Times New Roman" w:hAnsi="Times New Roman" w:cs="Times New Roman"/>
          <w:b/>
          <w:sz w:val="26"/>
          <w:szCs w:val="26"/>
        </w:rPr>
        <w:tab/>
      </w:r>
      <w:r w:rsidR="00F66E35" w:rsidRPr="00991B2C">
        <w:rPr>
          <w:rFonts w:ascii="Times New Roman" w:hAnsi="Times New Roman" w:cs="Times New Roman"/>
          <w:b/>
          <w:sz w:val="26"/>
          <w:szCs w:val="26"/>
        </w:rPr>
        <w:t xml:space="preserve">    THỦ TRƯỞNG ĐƠN VỊ</w:t>
      </w:r>
    </w:p>
    <w:p w:rsidR="00D8289E" w:rsidRPr="000D3B04" w:rsidRDefault="00D8289E" w:rsidP="000D3B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8289E" w:rsidRPr="000D3B04" w:rsidSect="006C594D">
      <w:pgSz w:w="11909" w:h="16834" w:code="9"/>
      <w:pgMar w:top="1440" w:right="929" w:bottom="1440" w:left="117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12360"/>
    <w:multiLevelType w:val="hybridMultilevel"/>
    <w:tmpl w:val="300ED834"/>
    <w:lvl w:ilvl="0" w:tplc="D9ECD1E0">
      <w:numFmt w:val="bullet"/>
      <w:lvlText w:val="-"/>
      <w:lvlJc w:val="left"/>
      <w:pPr>
        <w:ind w:left="21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8F"/>
    <w:rsid w:val="00072064"/>
    <w:rsid w:val="00076F45"/>
    <w:rsid w:val="000D3B04"/>
    <w:rsid w:val="000F440F"/>
    <w:rsid w:val="0010341B"/>
    <w:rsid w:val="002D7A3B"/>
    <w:rsid w:val="003E7C69"/>
    <w:rsid w:val="00443EDD"/>
    <w:rsid w:val="004B14B8"/>
    <w:rsid w:val="005008DD"/>
    <w:rsid w:val="00597700"/>
    <w:rsid w:val="00602CEA"/>
    <w:rsid w:val="006B4218"/>
    <w:rsid w:val="006C594D"/>
    <w:rsid w:val="006E2C0A"/>
    <w:rsid w:val="007379A0"/>
    <w:rsid w:val="007B4CF7"/>
    <w:rsid w:val="008805E9"/>
    <w:rsid w:val="008B5469"/>
    <w:rsid w:val="00936C09"/>
    <w:rsid w:val="00991B2C"/>
    <w:rsid w:val="00A53DE0"/>
    <w:rsid w:val="00AF0274"/>
    <w:rsid w:val="00B6761C"/>
    <w:rsid w:val="00BD34C9"/>
    <w:rsid w:val="00CF4F1D"/>
    <w:rsid w:val="00D07F7D"/>
    <w:rsid w:val="00D8289E"/>
    <w:rsid w:val="00E93D3C"/>
    <w:rsid w:val="00EB478F"/>
    <w:rsid w:val="00F6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63428A-B3F4-4D53-8A60-C1179658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94D"/>
    <w:pPr>
      <w:ind w:left="720"/>
      <w:contextualSpacing/>
    </w:pPr>
  </w:style>
  <w:style w:type="table" w:styleId="TableGrid">
    <w:name w:val="Table Grid"/>
    <w:basedOn w:val="TableNormal"/>
    <w:uiPriority w:val="59"/>
    <w:rsid w:val="00B6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6B52-EAC5-4F96-BFB3-33C844AA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 Giang</dc:creator>
  <cp:lastModifiedBy>Truong Bich Thuy</cp:lastModifiedBy>
  <cp:revision>4</cp:revision>
  <cp:lastPrinted>2020-08-17T09:37:00Z</cp:lastPrinted>
  <dcterms:created xsi:type="dcterms:W3CDTF">2020-08-12T07:24:00Z</dcterms:created>
  <dcterms:modified xsi:type="dcterms:W3CDTF">2020-08-17T09:37:00Z</dcterms:modified>
</cp:coreProperties>
</file>